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20"/>
        <w:jc w:val="both"/>
        <w:spacing w:before="240" w:after="0" w:line="57" w:lineRule="atLeast"/>
        <w:rPr>
          <w:b/>
          <w:bCs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К заявлению прилагаются следующие документы:</w:t>
      </w:r>
      <w:r>
        <w:rPr>
          <w:b/>
          <w:bCs/>
          <w:sz w:val="28"/>
          <w:szCs w:val="28"/>
          <w:u w:val="single"/>
        </w:rPr>
      </w:r>
    </w:p>
    <w:p>
      <w:pPr>
        <w:ind w:left="0" w:right="0" w:firstLine="720"/>
        <w:jc w:val="both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1) копия паспорта или иного документа, удостоверяющего личность родителя (родителей), законного представителя (представителей) детей, с отметкой о регистрации по месту жительства на территории Иркутской области;</w:t>
      </w:r>
      <w:r/>
    </w:p>
    <w:p>
      <w:pPr>
        <w:ind w:left="0" w:right="0" w:firstLine="720"/>
        <w:jc w:val="both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2) решение суда об установлении факта постоянного или преимущественного проживания на территории Иркутской области - в случае отсутствия в паспорте отметки о регистрации по месту жительства на территории Иркутской области;</w:t>
      </w:r>
      <w:r/>
    </w:p>
    <w:p>
      <w:pPr>
        <w:ind w:left="0" w:right="0" w:firstLine="720"/>
        <w:jc w:val="both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3) документы, подтверждающие полномочия законного представителя (представителей) детей - в случае обращения законного представителя (представителей) детей;</w:t>
      </w:r>
      <w:r/>
    </w:p>
    <w:p>
      <w:pPr>
        <w:ind w:left="0" w:right="0" w:firstLine="720"/>
        <w:jc w:val="both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4) свидетельства о рождении детей и их нотариально удостоверенный перевод на русский язык, в случае если эти свидетельства выданы компетентными органами иностранного государства, и паспорта детей, достигших возраста 14 лет;</w:t>
      </w:r>
      <w:r/>
    </w:p>
    <w:p>
      <w:pPr>
        <w:ind w:left="0" w:right="0" w:firstLine="720"/>
        <w:jc w:val="both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5) справка о составе семьи;</w:t>
      </w:r>
      <w:r/>
    </w:p>
    <w:p>
      <w:pPr>
        <w:ind w:left="0" w:right="0" w:firstLine="720"/>
        <w:jc w:val="both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6) копия выписки из Единого государственного реестра недвижимости об объектах недвижимости, удостоверяющей государственную регистрацию права участников на объект недвижимости (приусадебный земельный участок, садовый земельный участок, жилой дом, садовый 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ом), находящийся полностью или частично в собственности участников, выданной не ранее чем за 30 рабочих дней до подачи заявления на участие в конкурсе.</w:t>
      </w:r>
      <w:r/>
    </w:p>
    <w:p>
      <w:pPr>
        <w:ind w:left="0" w:right="0" w:firstLine="720"/>
        <w:jc w:val="both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В случае, если права на садовый земельный участок, садовый дом не зарегистрированы в Едином государственном реестре недвижимости, к заявлению прилагаются:</w:t>
      </w:r>
      <w:r/>
    </w:p>
    <w:p>
      <w:pPr>
        <w:ind w:left="0" w:right="0" w:firstLine="720"/>
        <w:jc w:val="both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правоустанавливающие документы на садовый земельный участок (в случае, если права на него возникли до дня вступления в силу </w:t>
      </w:r>
      <w:hyperlink r:id="rId8" w:tooltip="https://internet.garant.ru/document/redirect/11901341/0" w:history="1">
        <w:r>
          <w:rPr>
            <w:rStyle w:val="604"/>
            <w:rFonts w:ascii="Times New Roman" w:hAnsi="Times New Roman" w:eastAsia="Times New Roman" w:cs="Times New Roman"/>
            <w:color w:val="106bbe"/>
            <w:sz w:val="24"/>
            <w:u w:val="single"/>
          </w:rPr>
          <w:t xml:space="preserve">Федерального закона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от 21 июля 1997 года N 122-ФЗ "О государственной регистрации прав на недвижимое имущество и сделок с ним");</w:t>
      </w:r>
      <w:r/>
    </w:p>
    <w:p>
      <w:pPr>
        <w:ind w:left="0" w:right="0" w:firstLine="720"/>
        <w:jc w:val="both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документ, подтверждающий членство участника в садоводческом некоммерческом товариществе;</w:t>
      </w:r>
      <w:r/>
    </w:p>
    <w:p>
      <w:pPr>
        <w:ind w:left="0" w:right="0" w:firstLine="720"/>
        <w:jc w:val="both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документ, подтверждающий принятие общим собранием членов садоводческого некоммерческого товарищества решения о распределении садового земельного участка участнику.</w:t>
      </w:r>
      <w:r/>
    </w:p>
    <w:p>
      <w:pPr>
        <w:ind w:left="0" w:right="0" w:firstLine="720"/>
        <w:jc w:val="both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7) характеристика семьи, выданная органом опеки и попечительства по месту жительства (месту пребывания) семьи, - для семей, имеющих детей, принятых под опеку или попечительство;</w:t>
      </w:r>
      <w:r/>
    </w:p>
    <w:p>
      <w:pPr>
        <w:ind w:left="0" w:right="0" w:firstLine="720"/>
        <w:jc w:val="both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8) материалы, подтверждающие вклад родителей (законных представителей), в воспитание и развитие детей, укрепление семейных традиций (характеристики глав муниципальных образований, председателей садоводческого или огороднического некоммерческого товарищест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ва, соседей, благодарственные письма, грамоты, дипломы, свидетельства, фото и видеоматериалы) (при наличии).</w:t>
      </w:r>
      <w:r/>
    </w:p>
    <w:p>
      <w:pPr>
        <w:ind w:left="0" w:right="0" w:firstLine="720"/>
        <w:jc w:val="both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Участник вправе представить по собственной инициативе документы, указанные в </w:t>
      </w:r>
      <w:hyperlink r:id="rId9" w:tooltip="file:///opt/r7-office/desktopeditors/editors/web-apps/apps/documenteditor/main/index.html?_dc=0&amp;lang=ru-RU&amp;frameEditorId=placeholder&amp;parentOrigin=file://#sub_9174" w:history="1">
        <w:r>
          <w:rPr>
            <w:rStyle w:val="604"/>
            <w:rFonts w:ascii="Times New Roman" w:hAnsi="Times New Roman" w:eastAsia="Times New Roman" w:cs="Times New Roman"/>
            <w:color w:val="106bbe"/>
            <w:sz w:val="24"/>
            <w:u w:val="single"/>
          </w:rPr>
          <w:t xml:space="preserve">подпункте 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в части свидетельств о рождении (за исключением свидетельств о рождении, выданных компетентными органами иностранного государства, и их нотариально удостоверенного перевода на русский язык), </w:t>
      </w:r>
      <w:hyperlink r:id="rId10" w:tooltip="file:///opt/r7-office/desktopeditors/editors/web-apps/apps/documenteditor/main/index.html?_dc=0&amp;lang=ru-RU&amp;frameEditorId=placeholder&amp;parentOrigin=file://#sub_9176" w:history="1">
        <w:r>
          <w:rPr>
            <w:rStyle w:val="604"/>
            <w:rFonts w:ascii="Times New Roman" w:hAnsi="Times New Roman" w:eastAsia="Times New Roman" w:cs="Times New Roman"/>
            <w:color w:val="106bbe"/>
            <w:sz w:val="24"/>
            <w:u w:val="single"/>
          </w:rPr>
          <w:t xml:space="preserve">абзаце первом подпункта 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пункта.</w:t>
      </w:r>
      <w:r/>
    </w:p>
    <w:p>
      <w:pPr>
        <w:ind w:left="0" w:right="0" w:firstLine="720"/>
        <w:jc w:val="both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В случае если такие документы не были представлены участником, указанные документы и (или) информация запрашиваются управлением в порядке межведомственного информационного взаимодействия в соответствии с законодательством в срок не позднее трех рабочих дн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ей со дня подачи заявления участником конкурса.</w:t>
      </w:r>
      <w:r/>
    </w:p>
    <w:p>
      <w:pPr>
        <w:ind w:left="0" w:right="0" w:firstLine="720"/>
        <w:jc w:val="both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 w:customStyle="1">
    <w:name w:val="formattext"/>
    <w:basedOn w:val="5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4">
    <w:name w:val="Hyperlink"/>
    <w:basedOn w:val="600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nternet.garant.ru/document/redirect/11901341/0" TargetMode="External"/><Relationship Id="rId9" Type="http://schemas.openxmlformats.org/officeDocument/2006/relationships/hyperlink" Target="file:///opt/r7-office/desktopeditors/editors/web-apps/apps/documenteditor/main/index.html?_dc=0&amp;lang=ru-RU&amp;frameEditorId=placeholder&amp;parentOrigin=file://#sub_9174" TargetMode="External"/><Relationship Id="rId10" Type="http://schemas.openxmlformats.org/officeDocument/2006/relationships/hyperlink" Target="file:///opt/r7-office/desktopeditors/editors/web-apps/apps/documenteditor/main/index.html?_dc=0&amp;lang=ru-RU&amp;frameEditorId=placeholder&amp;parentOrigin=file://#sub_917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APM-7-1</dc:creator>
  <cp:keywords/>
  <dc:description/>
  <cp:revision>6</cp:revision>
  <dcterms:created xsi:type="dcterms:W3CDTF">2023-06-05T07:20:00Z</dcterms:created>
  <dcterms:modified xsi:type="dcterms:W3CDTF">2024-05-28T06:50:25Z</dcterms:modified>
</cp:coreProperties>
</file>